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21054900"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B76479">
        <w:rPr>
          <w:rFonts w:ascii="Cambria" w:hAnsi="Cambria" w:cs="Calibri"/>
          <w:sz w:val="16"/>
          <w:szCs w:val="16"/>
        </w:rPr>
        <w:t>P</w:t>
      </w:r>
      <w:r w:rsidR="00C75F8B">
        <w:rPr>
          <w:rFonts w:ascii="Cambria" w:hAnsi="Cambria" w:cs="Calibri"/>
          <w:sz w:val="16"/>
          <w:szCs w:val="16"/>
        </w:rPr>
        <w:t>E</w:t>
      </w:r>
      <w:r w:rsidR="00FC0C02">
        <w:rPr>
          <w:rFonts w:ascii="Cambria" w:hAnsi="Cambria" w:cs="Calibri"/>
          <w:sz w:val="16"/>
          <w:szCs w:val="16"/>
        </w:rPr>
        <w:t xml:space="preserve"> (ISIN : </w:t>
      </w:r>
      <w:r w:rsidR="00137B60" w:rsidRPr="00137B60">
        <w:rPr>
          <w:rFonts w:ascii="Cambria" w:hAnsi="Cambria" w:cs="Calibri"/>
          <w:sz w:val="16"/>
          <w:szCs w:val="16"/>
        </w:rPr>
        <w:t>FR</w:t>
      </w:r>
      <w:r w:rsidR="0084343A" w:rsidRPr="0084343A">
        <w:rPr>
          <w:rFonts w:ascii="Cambria" w:hAnsi="Cambria" w:cs="Calibri"/>
          <w:sz w:val="16"/>
          <w:szCs w:val="16"/>
        </w:rPr>
        <w:t>0014013XV5</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31A92D42"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8B38C0">
        <w:rPr>
          <w:rFonts w:ascii="Cambria" w:hAnsi="Cambria" w:cs="Calibri"/>
          <w:sz w:val="16"/>
          <w:szCs w:val="16"/>
        </w:rPr>
        <w:t>2</w:t>
      </w:r>
      <w:r w:rsidR="009C2B2B">
        <w:rPr>
          <w:rFonts w:ascii="Cambria" w:hAnsi="Cambria" w:cs="Calibri"/>
          <w:sz w:val="16"/>
          <w:szCs w:val="16"/>
        </w:rPr>
        <w:t>3</w:t>
      </w:r>
      <w:r w:rsidR="005715A5">
        <w:rPr>
          <w:rFonts w:ascii="Cambria" w:hAnsi="Cambria" w:cs="Calibri"/>
          <w:sz w:val="16"/>
          <w:szCs w:val="16"/>
        </w:rPr>
        <w:t>/</w:t>
      </w:r>
      <w:r w:rsidR="009C2B2B">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9C2B2B">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4E69A97B"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F963E0">
        <w:rPr>
          <w:rFonts w:ascii="Cambria" w:eastAsia="Calibri" w:hAnsi="Cambria" w:cs="Calibri"/>
          <w:color w:val="000000"/>
          <w:spacing w:val="-2"/>
          <w:sz w:val="16"/>
          <w:szCs w:val="16"/>
        </w:rPr>
        <w:t>cinquante</w:t>
      </w:r>
      <w:r w:rsidR="0058107D" w:rsidRPr="0058107D">
        <w:rPr>
          <w:rFonts w:ascii="Cambria" w:eastAsia="Calibri" w:hAnsi="Cambria" w:cs="Calibri"/>
          <w:color w:val="000000"/>
          <w:spacing w:val="-2"/>
          <w:sz w:val="16"/>
          <w:szCs w:val="16"/>
        </w:rPr>
        <w:t xml:space="preserve"> </w:t>
      </w:r>
      <w:r w:rsidR="004E2029" w:rsidRPr="004E2029">
        <w:rPr>
          <w:rFonts w:ascii="Cambria" w:eastAsia="Calibri" w:hAnsi="Cambria" w:cs="Calibri"/>
          <w:color w:val="000000"/>
          <w:spacing w:val="-2"/>
          <w:sz w:val="16"/>
          <w:szCs w:val="16"/>
        </w:rPr>
        <w:t>pour cent (</w:t>
      </w:r>
      <w:r w:rsidR="00F963E0">
        <w:rPr>
          <w:rFonts w:ascii="Cambria" w:eastAsia="Calibri" w:hAnsi="Cambria" w:cs="Calibri"/>
          <w:color w:val="000000"/>
          <w:spacing w:val="-2"/>
          <w:sz w:val="16"/>
          <w:szCs w:val="16"/>
        </w:rPr>
        <w:t>50</w:t>
      </w:r>
      <w:r w:rsidR="004E2029" w:rsidRPr="004E2029">
        <w:rPr>
          <w:rFonts w:ascii="Cambria" w:eastAsia="Calibri" w:hAnsi="Cambria" w:cs="Calibri"/>
          <w:color w:val="000000"/>
          <w:spacing w:val="-2"/>
          <w:sz w:val="16"/>
          <w:szCs w:val="16"/>
        </w:rPr>
        <w:t xml:space="preserve">%) de </w:t>
      </w:r>
      <w:r w:rsidR="00A21AC7">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investira dans les Sociétés du Portefeuille via des investissements sous forme de dette ou d’obligations, de rang en dette senior, junior ou, unitranche,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EuVECA,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7777777"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 Capitalisation.</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2C14CD11" w:rsidR="00F656D3" w:rsidRPr="000E0FC3" w:rsidRDefault="00444F4C" w:rsidP="003978C9">
      <w:pPr>
        <w:spacing w:line="229" w:lineRule="auto"/>
        <w:ind w:left="-142" w:right="250"/>
        <w:jc w:val="both"/>
      </w:pPr>
      <w:r w:rsidRPr="000E0FC3">
        <w:rPr>
          <w:rFonts w:ascii="Cambria" w:eastAsia="Calibri" w:hAnsi="Cambria" w:cs="Calibri"/>
          <w:b/>
          <w:spacing w:val="-2"/>
          <w:sz w:val="16"/>
          <w:szCs w:val="16"/>
        </w:rPr>
        <w:t xml:space="preserve">Investisseurs visés : </w:t>
      </w:r>
      <w:r w:rsidR="00F656D3" w:rsidRPr="000E0FC3">
        <w:rPr>
          <w:rFonts w:ascii="Cambria" w:eastAsia="Calibri" w:hAnsi="Cambria" w:cs="Calibri"/>
          <w:spacing w:val="-2"/>
          <w:sz w:val="16"/>
          <w:szCs w:val="16"/>
        </w:rPr>
        <w:t xml:space="preserve">les Parts </w:t>
      </w:r>
      <w:r w:rsidR="000E0FC3" w:rsidRPr="000E0FC3">
        <w:rPr>
          <w:rFonts w:ascii="Cambria" w:eastAsia="Calibri" w:hAnsi="Cambria" w:cs="Calibri"/>
          <w:spacing w:val="-2"/>
          <w:sz w:val="16"/>
          <w:szCs w:val="16"/>
        </w:rPr>
        <w:t>PE</w:t>
      </w:r>
      <w:r w:rsidR="00F656D3" w:rsidRPr="000E0FC3">
        <w:rPr>
          <w:rFonts w:ascii="Cambria" w:eastAsia="Calibri" w:hAnsi="Cambria" w:cs="Calibri"/>
          <w:spacing w:val="-2"/>
          <w:sz w:val="16"/>
          <w:szCs w:val="16"/>
        </w:rPr>
        <w:t xml:space="preserve"> sont réservées aux </w:t>
      </w:r>
      <w:r w:rsidR="000E0FC3" w:rsidRPr="000E0FC3">
        <w:rPr>
          <w:rFonts w:ascii="Cambria" w:eastAsia="Calibri" w:hAnsi="Cambria" w:cs="Calibri"/>
          <w:spacing w:val="-2"/>
          <w:sz w:val="16"/>
          <w:szCs w:val="16"/>
        </w:rPr>
        <w:t xml:space="preserve">Entreprises d’assurance et fonds de retraite professionnelle supplémentaire de droit français entrant dans le Fonds par l’intermédiaire d’Exclusive Partners ou de l’un de ses Affiliés. </w:t>
      </w:r>
      <w:r w:rsidR="00C947BA" w:rsidRPr="000E0FC3">
        <w:rPr>
          <w:rFonts w:ascii="Cambria" w:eastAsia="Calibri" w:hAnsi="Cambria" w:cs="Calibri"/>
          <w:spacing w:val="-2"/>
          <w:sz w:val="16"/>
          <w:szCs w:val="16"/>
        </w:rPr>
        <w:t xml:space="preserve"> (</w:t>
      </w:r>
      <w:proofErr w:type="gramStart"/>
      <w:r w:rsidR="00C947BA" w:rsidRPr="000E0FC3">
        <w:rPr>
          <w:rFonts w:ascii="Cambria" w:eastAsia="Calibri" w:hAnsi="Cambria" w:cs="Calibri"/>
          <w:spacing w:val="-2"/>
          <w:sz w:val="16"/>
          <w:szCs w:val="16"/>
        </w:rPr>
        <w:t>les</w:t>
      </w:r>
      <w:proofErr w:type="gramEnd"/>
      <w:r w:rsidR="00C947BA" w:rsidRPr="000E0FC3">
        <w:rPr>
          <w:rFonts w:ascii="Cambria" w:eastAsia="Calibri" w:hAnsi="Cambria" w:cs="Calibri"/>
          <w:spacing w:val="-2"/>
          <w:sz w:val="16"/>
          <w:szCs w:val="16"/>
        </w:rPr>
        <w:t xml:space="preserve"> « </w:t>
      </w:r>
      <w:r w:rsidR="00C947BA" w:rsidRPr="000E0FC3">
        <w:rPr>
          <w:rFonts w:ascii="Cambria" w:eastAsia="Calibri" w:hAnsi="Cambria" w:cs="Calibri"/>
          <w:b/>
          <w:bCs/>
          <w:spacing w:val="-2"/>
          <w:sz w:val="16"/>
          <w:szCs w:val="16"/>
        </w:rPr>
        <w:t>Investisseurs Eligibles</w:t>
      </w:r>
      <w:r w:rsidR="00C947BA" w:rsidRPr="000E0FC3">
        <w:rPr>
          <w:rFonts w:ascii="Cambria" w:eastAsia="Calibri" w:hAnsi="Cambria" w:cs="Calibri"/>
          <w:spacing w:val="-2"/>
          <w:sz w:val="16"/>
          <w:szCs w:val="16"/>
        </w:rPr>
        <w:t> »).</w:t>
      </w:r>
    </w:p>
    <w:p w14:paraId="229A14D3" w14:textId="17DD851E" w:rsidR="003978C9" w:rsidRPr="000E0FC3" w:rsidRDefault="00F656D3" w:rsidP="004A242E">
      <w:pPr>
        <w:spacing w:line="229" w:lineRule="auto"/>
        <w:ind w:left="-142" w:right="250"/>
        <w:jc w:val="both"/>
        <w:rPr>
          <w:rFonts w:ascii="Cambria" w:eastAsia="Calibri" w:hAnsi="Cambria" w:cs="Calibri"/>
          <w:spacing w:val="-2"/>
          <w:sz w:val="16"/>
          <w:szCs w:val="16"/>
        </w:rPr>
      </w:pPr>
      <w:r w:rsidRPr="000E0FC3">
        <w:rPr>
          <w:rFonts w:ascii="Cambria" w:eastAsia="Calibri" w:hAnsi="Cambria" w:cs="Calibri"/>
          <w:spacing w:val="-2"/>
          <w:sz w:val="16"/>
          <w:szCs w:val="16"/>
        </w:rPr>
        <w:t xml:space="preserve">La souscription initiale des Parts </w:t>
      </w:r>
      <w:r w:rsidR="000E0FC3" w:rsidRPr="000E0FC3">
        <w:rPr>
          <w:rFonts w:ascii="Cambria" w:eastAsia="Calibri" w:hAnsi="Cambria" w:cs="Calibri"/>
          <w:spacing w:val="-2"/>
          <w:sz w:val="16"/>
          <w:szCs w:val="16"/>
        </w:rPr>
        <w:t>PE</w:t>
      </w:r>
      <w:r w:rsidRPr="000E0FC3">
        <w:rPr>
          <w:rFonts w:ascii="Cambria" w:eastAsia="Calibri" w:hAnsi="Cambria" w:cs="Calibri"/>
          <w:spacing w:val="-2"/>
          <w:sz w:val="16"/>
          <w:szCs w:val="16"/>
        </w:rPr>
        <w:t xml:space="preserve"> est supérieure ou égale à 1.000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0E0FC3">
        <w:rPr>
          <w:rFonts w:ascii="Cambria" w:eastAsia="Calibri" w:hAnsi="Cambria" w:cs="Calibri"/>
          <w:spacing w:val="-2"/>
          <w:sz w:val="16"/>
          <w:szCs w:val="16"/>
        </w:rPr>
        <w:t>La souscription et l'acquisition d</w:t>
      </w:r>
      <w:r w:rsidR="006A0BF9" w:rsidRPr="000E0FC3">
        <w:rPr>
          <w:rFonts w:ascii="Cambria" w:eastAsia="Calibri" w:hAnsi="Cambria" w:cs="Calibri"/>
          <w:spacing w:val="-2"/>
          <w:sz w:val="16"/>
          <w:szCs w:val="16"/>
        </w:rPr>
        <w:t>e parts</w:t>
      </w:r>
      <w:r w:rsidRPr="000E0FC3">
        <w:rPr>
          <w:rFonts w:ascii="Cambria" w:eastAsia="Calibri" w:hAnsi="Cambria" w:cs="Calibri"/>
          <w:spacing w:val="-2"/>
          <w:sz w:val="16"/>
          <w:szCs w:val="16"/>
        </w:rPr>
        <w:t xml:space="preserve"> sont interdites aux </w:t>
      </w:r>
      <w:r w:rsidRPr="000E0FC3">
        <w:rPr>
          <w:rFonts w:ascii="Cambria" w:eastAsia="Calibri" w:hAnsi="Cambria" w:cs="Calibri"/>
          <w:i/>
          <w:iCs/>
          <w:spacing w:val="-2"/>
          <w:sz w:val="16"/>
          <w:szCs w:val="16"/>
        </w:rPr>
        <w:t>U.S. Persons</w:t>
      </w:r>
      <w:r w:rsidRPr="000E0FC3">
        <w:rPr>
          <w:rFonts w:ascii="Cambria" w:eastAsia="Calibri" w:hAnsi="Cambria" w:cs="Calibri"/>
          <w:spacing w:val="-2"/>
          <w:sz w:val="16"/>
          <w:szCs w:val="16"/>
        </w:rPr>
        <w:t xml:space="preserve"> telles que définies dans le </w:t>
      </w:r>
      <w:r w:rsidR="00100330" w:rsidRPr="000E0FC3">
        <w:rPr>
          <w:rFonts w:ascii="Cambria" w:eastAsia="Calibri" w:hAnsi="Cambria" w:cs="Calibri"/>
          <w:spacing w:val="-2"/>
          <w:sz w:val="16"/>
          <w:szCs w:val="16"/>
        </w:rPr>
        <w:t>Règlement</w:t>
      </w:r>
      <w:r w:rsidRPr="000E0FC3">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79F2F55C" w14:textId="77777777" w:rsidR="000E0FC3" w:rsidRPr="001F0ADB" w:rsidRDefault="00444F4C" w:rsidP="000E0FC3">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0E0FC3" w:rsidRPr="000032EF">
        <w:rPr>
          <w:rFonts w:ascii="Cambria" w:eastAsia="Times New Roman" w:hAnsi="Cambria" w:cs="Calibri"/>
          <w:sz w:val="16"/>
          <w:szCs w:val="16"/>
        </w:rPr>
        <w:t>la valeur liquidative (« </w:t>
      </w:r>
      <w:r w:rsidR="000E0FC3" w:rsidRPr="000032EF">
        <w:rPr>
          <w:rFonts w:ascii="Cambria" w:eastAsia="Times New Roman" w:hAnsi="Cambria" w:cs="Calibri"/>
          <w:b/>
          <w:bCs/>
          <w:sz w:val="16"/>
          <w:szCs w:val="16"/>
        </w:rPr>
        <w:t>VL</w:t>
      </w:r>
      <w:r w:rsidR="000E0FC3" w:rsidRPr="000032EF">
        <w:rPr>
          <w:rFonts w:ascii="Cambria" w:eastAsia="Times New Roman" w:hAnsi="Cambria" w:cs="Calibri"/>
          <w:sz w:val="16"/>
          <w:szCs w:val="16"/>
        </w:rPr>
        <w:t xml:space="preserve"> ») est calculée deux fois par mois. </w:t>
      </w:r>
      <w:r w:rsidR="000E0FC3" w:rsidRPr="001F0ADB">
        <w:rPr>
          <w:rFonts w:ascii="Cambria" w:eastAsia="Times New Roman" w:hAnsi="Cambria" w:cs="Calibri"/>
          <w:sz w:val="16"/>
          <w:szCs w:val="16"/>
        </w:rPr>
        <w:t>Les demandes de souscription sont centralisées au plus tard avant douze</w:t>
      </w:r>
      <w:r w:rsidR="000E0FC3">
        <w:rPr>
          <w:rFonts w:ascii="Cambria" w:eastAsia="Times New Roman" w:hAnsi="Cambria" w:cs="Calibri"/>
          <w:sz w:val="16"/>
          <w:szCs w:val="16"/>
        </w:rPr>
        <w:t xml:space="preserve"> </w:t>
      </w:r>
      <w:r w:rsidR="000E0FC3" w:rsidRPr="001F0ADB">
        <w:rPr>
          <w:rFonts w:ascii="Cambria" w:eastAsia="Times New Roman" w:hAnsi="Cambria" w:cs="Calibri"/>
          <w:sz w:val="16"/>
          <w:szCs w:val="16"/>
        </w:rPr>
        <w:t>(12) heures (heure de Paris) le cinquième (5ème) Jour Ouvré précédant la Date d’Etablissement de la</w:t>
      </w:r>
      <w:r w:rsidR="000E0FC3">
        <w:rPr>
          <w:rFonts w:ascii="Cambria" w:eastAsia="Times New Roman" w:hAnsi="Cambria" w:cs="Calibri"/>
          <w:sz w:val="16"/>
          <w:szCs w:val="16"/>
        </w:rPr>
        <w:t xml:space="preserve"> </w:t>
      </w:r>
      <w:r w:rsidR="000E0FC3" w:rsidRPr="001F0ADB">
        <w:rPr>
          <w:rFonts w:ascii="Cambria" w:eastAsia="Times New Roman" w:hAnsi="Cambria" w:cs="Calibri"/>
          <w:sz w:val="16"/>
          <w:szCs w:val="16"/>
        </w:rPr>
        <w:t>Valeur Liquidative</w:t>
      </w:r>
      <w:r w:rsidR="000E0FC3" w:rsidRPr="00993ABB">
        <w:rPr>
          <w:rFonts w:ascii="Cambria" w:eastAsia="Calibri" w:hAnsi="Cambria" w:cs="Calibri"/>
          <w:spacing w:val="-2"/>
          <w:sz w:val="16"/>
          <w:szCs w:val="16"/>
        </w:rPr>
        <w:t xml:space="preserve">. </w:t>
      </w:r>
      <w:bookmarkStart w:id="2" w:name="_Hlk177053990"/>
      <w:bookmarkStart w:id="3" w:name="_Hlk65144204"/>
      <w:r w:rsidR="000E0FC3"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0E0FC3" w:rsidRPr="001F0ADB">
        <w:rPr>
          <w:rFonts w:ascii="Cambria" w:eastAsia="Calibri" w:hAnsi="Cambria" w:cs="Calibri"/>
          <w:spacing w:val="-2"/>
          <w:sz w:val="16"/>
          <w:szCs w:val="16"/>
        </w:rPr>
        <w:t>(la « </w:t>
      </w:r>
      <w:r w:rsidR="000E0FC3" w:rsidRPr="001F0ADB">
        <w:rPr>
          <w:rFonts w:ascii="Cambria" w:eastAsia="Calibri" w:hAnsi="Cambria" w:cs="Calibri"/>
          <w:b/>
          <w:spacing w:val="-2"/>
          <w:sz w:val="16"/>
          <w:szCs w:val="16"/>
        </w:rPr>
        <w:t>Période de Blocage</w:t>
      </w:r>
      <w:r w:rsidR="000E0FC3" w:rsidRPr="001F0ADB">
        <w:rPr>
          <w:rFonts w:ascii="Cambria" w:eastAsia="Calibri" w:hAnsi="Cambria" w:cs="Calibri"/>
          <w:spacing w:val="-2"/>
          <w:sz w:val="16"/>
          <w:szCs w:val="16"/>
        </w:rPr>
        <w:t> »).</w:t>
      </w:r>
    </w:p>
    <w:p w14:paraId="78BBC9CC" w14:textId="77777777" w:rsidR="000E0FC3" w:rsidRPr="003B7ADC" w:rsidRDefault="000E0FC3" w:rsidP="000E0FC3">
      <w:pPr>
        <w:spacing w:line="229" w:lineRule="auto"/>
        <w:ind w:left="-142" w:right="250"/>
        <w:jc w:val="both"/>
        <w:rPr>
          <w:rFonts w:ascii="Cambria" w:eastAsia="Calibri" w:hAnsi="Cambria" w:cs="Calibri"/>
          <w:color w:val="000000"/>
          <w:spacing w:val="-2"/>
          <w:sz w:val="16"/>
          <w:szCs w:val="16"/>
        </w:rPr>
        <w:sectPr w:rsidR="000E0FC3" w:rsidRPr="003B7ADC" w:rsidSect="000E0FC3">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78597563" w14:textId="57398F38" w:rsidR="00444F4C" w:rsidRPr="003B7ADC" w:rsidRDefault="00444F4C" w:rsidP="003B7ADC">
      <w:pPr>
        <w:spacing w:line="229" w:lineRule="auto"/>
        <w:ind w:left="-142" w:right="250"/>
        <w:jc w:val="both"/>
        <w:rPr>
          <w:rFonts w:ascii="Cambria" w:eastAsia="Calibri" w:hAnsi="Cambria" w:cs="Calibri"/>
          <w:color w:val="000000"/>
          <w:spacing w:val="-2"/>
          <w:sz w:val="16"/>
          <w:szCs w:val="16"/>
        </w:rPr>
        <w:sectPr w:rsidR="00444F4C" w:rsidRPr="003B7ADC" w:rsidSect="001D00AB">
          <w:type w:val="continuous"/>
          <w:pgSz w:w="11906" w:h="16838"/>
          <w:pgMar w:top="454" w:right="567" w:bottom="454" w:left="567" w:header="454" w:footer="709" w:gutter="0"/>
          <w:cols w:num="2" w:space="340"/>
          <w:docGrid w:linePitch="360"/>
        </w:sectPr>
      </w:pP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lastRenderedPageBreak/>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404EFE">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AD65223"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3D92EE4F" w:rsidR="00824F37" w:rsidRPr="00993ABB" w:rsidRDefault="006D0298" w:rsidP="00824F37">
      <w:pPr>
        <w:spacing w:after="80" w:line="229" w:lineRule="auto"/>
        <w:jc w:val="both"/>
        <w:rPr>
          <w:rFonts w:ascii="Cambria" w:hAnsi="Cambria"/>
          <w:sz w:val="16"/>
          <w:szCs w:val="16"/>
        </w:rPr>
      </w:pPr>
      <w:r w:rsidRPr="006D0298">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082CA2" w:rsidRPr="00993ABB" w14:paraId="12C2E398" w14:textId="77777777" w:rsidTr="00E85BD7">
        <w:tc>
          <w:tcPr>
            <w:tcW w:w="1663" w:type="dxa"/>
            <w:vMerge w:val="restart"/>
            <w:shd w:val="clear" w:color="auto" w:fill="D9D9D9" w:themeFill="background1" w:themeFillShade="D9"/>
            <w:vAlign w:val="center"/>
          </w:tcPr>
          <w:p w14:paraId="41991F00" w14:textId="77777777"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14C3C632"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6 792</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010D5D7A"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5 331</w:t>
            </w:r>
            <w:r>
              <w:rPr>
                <w:rFonts w:ascii="Arial" w:hAnsi="Arial" w:cs="Arial"/>
                <w:color w:val="000000"/>
                <w:sz w:val="16"/>
                <w:szCs w:val="16"/>
              </w:rPr>
              <w:t xml:space="preserve"> €</w:t>
            </w:r>
          </w:p>
        </w:tc>
      </w:tr>
      <w:tr w:rsidR="00082CA2" w:rsidRPr="00993ABB" w14:paraId="6660BD64" w14:textId="77777777" w:rsidTr="00240567">
        <w:tc>
          <w:tcPr>
            <w:tcW w:w="1663" w:type="dxa"/>
            <w:vMerge/>
            <w:shd w:val="clear" w:color="auto" w:fill="D9D9D9" w:themeFill="background1" w:themeFillShade="D9"/>
            <w:vAlign w:val="center"/>
          </w:tcPr>
          <w:p w14:paraId="59A1F97C" w14:textId="77777777" w:rsidR="00082CA2" w:rsidRPr="00993ABB" w:rsidRDefault="00082CA2" w:rsidP="00082CA2">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082CA2" w:rsidRPr="00993ABB" w:rsidRDefault="00082CA2" w:rsidP="00082CA2">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68CF1D63"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-17,59%</w:t>
            </w:r>
          </w:p>
        </w:tc>
        <w:tc>
          <w:tcPr>
            <w:tcW w:w="2677" w:type="dxa"/>
            <w:tcBorders>
              <w:top w:val="nil"/>
              <w:left w:val="nil"/>
              <w:bottom w:val="single" w:sz="8" w:space="0" w:color="auto"/>
              <w:right w:val="single" w:sz="8" w:space="0" w:color="auto"/>
            </w:tcBorders>
            <w:shd w:val="clear" w:color="auto" w:fill="F2F2F2"/>
            <w:vAlign w:val="center"/>
          </w:tcPr>
          <w:p w14:paraId="7FE09929" w14:textId="3222CB98"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-11,82%</w:t>
            </w:r>
          </w:p>
        </w:tc>
      </w:tr>
      <w:tr w:rsidR="00082CA2" w:rsidRPr="00993ABB" w14:paraId="7A293B43" w14:textId="77777777" w:rsidTr="00E85BD7">
        <w:tc>
          <w:tcPr>
            <w:tcW w:w="1663" w:type="dxa"/>
            <w:vMerge w:val="restart"/>
            <w:vAlign w:val="center"/>
          </w:tcPr>
          <w:p w14:paraId="284E9D24" w14:textId="77777777" w:rsidR="00082CA2" w:rsidRPr="00993ABB" w:rsidRDefault="00082CA2" w:rsidP="00082CA2">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4278EF3D"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8 698</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7E3654EA"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7 983</w:t>
            </w:r>
            <w:r>
              <w:rPr>
                <w:rFonts w:ascii="Arial" w:hAnsi="Arial" w:cs="Arial"/>
                <w:color w:val="000000"/>
                <w:sz w:val="16"/>
                <w:szCs w:val="16"/>
              </w:rPr>
              <w:t xml:space="preserve"> €</w:t>
            </w:r>
          </w:p>
        </w:tc>
      </w:tr>
      <w:bookmarkEnd w:id="6"/>
      <w:tr w:rsidR="00082CA2" w:rsidRPr="00993ABB" w14:paraId="0D515A42" w14:textId="77777777" w:rsidTr="00240567">
        <w:tc>
          <w:tcPr>
            <w:tcW w:w="1663" w:type="dxa"/>
            <w:vMerge/>
            <w:vAlign w:val="center"/>
          </w:tcPr>
          <w:p w14:paraId="1AD38383" w14:textId="77777777" w:rsidR="00082CA2" w:rsidRPr="00993ABB" w:rsidRDefault="00082CA2" w:rsidP="00082CA2">
            <w:pPr>
              <w:ind w:left="142" w:right="273"/>
              <w:jc w:val="both"/>
              <w:rPr>
                <w:rFonts w:ascii="Cambria" w:hAnsi="Cambria" w:cs="Calibri"/>
                <w:b/>
                <w:bCs/>
                <w:sz w:val="16"/>
                <w:szCs w:val="16"/>
              </w:rPr>
            </w:pPr>
          </w:p>
        </w:tc>
        <w:tc>
          <w:tcPr>
            <w:tcW w:w="3100" w:type="dxa"/>
            <w:vAlign w:val="center"/>
          </w:tcPr>
          <w:p w14:paraId="3F68E9F8" w14:textId="2624B78D"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7E49CE96"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-6,73%</w:t>
            </w:r>
          </w:p>
        </w:tc>
        <w:tc>
          <w:tcPr>
            <w:tcW w:w="2677" w:type="dxa"/>
            <w:tcBorders>
              <w:top w:val="nil"/>
              <w:left w:val="nil"/>
              <w:bottom w:val="single" w:sz="8" w:space="0" w:color="auto"/>
              <w:right w:val="single" w:sz="8" w:space="0" w:color="auto"/>
            </w:tcBorders>
            <w:shd w:val="clear" w:color="auto" w:fill="F2F2F2"/>
            <w:vAlign w:val="center"/>
          </w:tcPr>
          <w:p w14:paraId="7B79DE48" w14:textId="061926E6"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-4,40%</w:t>
            </w:r>
          </w:p>
        </w:tc>
      </w:tr>
      <w:tr w:rsidR="00082CA2" w:rsidRPr="00993ABB" w14:paraId="0186D4D8" w14:textId="77777777" w:rsidTr="00E85BD7">
        <w:tc>
          <w:tcPr>
            <w:tcW w:w="1663" w:type="dxa"/>
            <w:vMerge w:val="restart"/>
            <w:shd w:val="clear" w:color="auto" w:fill="D9D9D9" w:themeFill="background1" w:themeFillShade="D9"/>
            <w:vAlign w:val="center"/>
          </w:tcPr>
          <w:p w14:paraId="05005140" w14:textId="77777777" w:rsidR="00082CA2" w:rsidRPr="00993ABB" w:rsidRDefault="00082CA2" w:rsidP="00082CA2">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2E6E2FF4"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9 629</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2D8F25AE"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9 664</w:t>
            </w:r>
            <w:r>
              <w:rPr>
                <w:rFonts w:ascii="Arial" w:hAnsi="Arial" w:cs="Arial"/>
                <w:color w:val="000000"/>
                <w:sz w:val="16"/>
                <w:szCs w:val="16"/>
              </w:rPr>
              <w:t xml:space="preserve"> €</w:t>
            </w:r>
          </w:p>
        </w:tc>
      </w:tr>
      <w:tr w:rsidR="00082CA2" w:rsidRPr="00993ABB" w14:paraId="02E3E8D5" w14:textId="77777777" w:rsidTr="00240567">
        <w:tc>
          <w:tcPr>
            <w:tcW w:w="1663" w:type="dxa"/>
            <w:vMerge/>
            <w:shd w:val="clear" w:color="auto" w:fill="D9D9D9" w:themeFill="background1" w:themeFillShade="D9"/>
            <w:vAlign w:val="center"/>
          </w:tcPr>
          <w:p w14:paraId="2CA01772" w14:textId="77777777" w:rsidR="00082CA2" w:rsidRPr="00993ABB" w:rsidRDefault="00082CA2" w:rsidP="00082CA2">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7750FF4D"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-1,87%</w:t>
            </w:r>
          </w:p>
        </w:tc>
        <w:tc>
          <w:tcPr>
            <w:tcW w:w="2677" w:type="dxa"/>
            <w:tcBorders>
              <w:top w:val="nil"/>
              <w:left w:val="nil"/>
              <w:bottom w:val="single" w:sz="8" w:space="0" w:color="auto"/>
              <w:right w:val="single" w:sz="8" w:space="0" w:color="auto"/>
            </w:tcBorders>
            <w:shd w:val="clear" w:color="auto" w:fill="F2F2F2"/>
            <w:vAlign w:val="center"/>
          </w:tcPr>
          <w:p w14:paraId="78983987" w14:textId="10E75F49"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-0,68%</w:t>
            </w:r>
          </w:p>
        </w:tc>
      </w:tr>
      <w:tr w:rsidR="00082CA2" w:rsidRPr="00993ABB" w14:paraId="16B991D7" w14:textId="77777777" w:rsidTr="00E85BD7">
        <w:tc>
          <w:tcPr>
            <w:tcW w:w="1663" w:type="dxa"/>
            <w:vMerge w:val="restart"/>
            <w:vAlign w:val="center"/>
          </w:tcPr>
          <w:p w14:paraId="7C67DF5C" w14:textId="77777777" w:rsidR="00082CA2" w:rsidRPr="00993ABB" w:rsidRDefault="00082CA2" w:rsidP="00082CA2">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417C8683"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10 527</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7027A74E"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11 487</w:t>
            </w:r>
            <w:r>
              <w:rPr>
                <w:rFonts w:ascii="Arial" w:hAnsi="Arial" w:cs="Arial"/>
                <w:color w:val="000000"/>
                <w:sz w:val="16"/>
                <w:szCs w:val="16"/>
              </w:rPr>
              <w:t xml:space="preserve"> €</w:t>
            </w:r>
          </w:p>
        </w:tc>
      </w:tr>
      <w:tr w:rsidR="00082CA2" w:rsidRPr="00993ABB" w14:paraId="565F00B4" w14:textId="77777777" w:rsidTr="00240567">
        <w:tc>
          <w:tcPr>
            <w:tcW w:w="1663" w:type="dxa"/>
            <w:vMerge/>
            <w:vAlign w:val="center"/>
          </w:tcPr>
          <w:p w14:paraId="681CA53E" w14:textId="77777777" w:rsidR="00082CA2" w:rsidRPr="00993ABB" w:rsidRDefault="00082CA2" w:rsidP="00082CA2">
            <w:pPr>
              <w:ind w:left="142" w:right="273"/>
              <w:jc w:val="both"/>
              <w:rPr>
                <w:rFonts w:ascii="Cambria" w:hAnsi="Cambria" w:cs="Calibri"/>
                <w:sz w:val="16"/>
                <w:szCs w:val="16"/>
              </w:rPr>
            </w:pPr>
          </w:p>
        </w:tc>
        <w:tc>
          <w:tcPr>
            <w:tcW w:w="3100" w:type="dxa"/>
            <w:vAlign w:val="center"/>
          </w:tcPr>
          <w:p w14:paraId="2DFC27F2" w14:textId="23675B5A" w:rsidR="00082CA2" w:rsidRPr="00993ABB" w:rsidRDefault="00082CA2" w:rsidP="00082CA2">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09C68468"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2,60%</w:t>
            </w:r>
          </w:p>
        </w:tc>
        <w:tc>
          <w:tcPr>
            <w:tcW w:w="2677" w:type="dxa"/>
            <w:tcBorders>
              <w:top w:val="nil"/>
              <w:left w:val="nil"/>
              <w:bottom w:val="single" w:sz="8" w:space="0" w:color="auto"/>
              <w:right w:val="single" w:sz="8" w:space="0" w:color="auto"/>
            </w:tcBorders>
            <w:shd w:val="clear" w:color="auto" w:fill="F2F2F2"/>
            <w:vAlign w:val="center"/>
          </w:tcPr>
          <w:p w14:paraId="222090C8" w14:textId="5F1A836F" w:rsidR="00082CA2" w:rsidRPr="00082CA2" w:rsidRDefault="00082CA2" w:rsidP="00082CA2">
            <w:pPr>
              <w:ind w:right="273"/>
              <w:jc w:val="center"/>
              <w:rPr>
                <w:rFonts w:ascii="Cambria" w:hAnsi="Cambria" w:cs="Arial"/>
                <w:sz w:val="16"/>
                <w:szCs w:val="16"/>
              </w:rPr>
            </w:pPr>
            <w:r w:rsidRPr="00404EFE">
              <w:rPr>
                <w:rFonts w:ascii="Arial" w:hAnsi="Arial" w:cs="Arial"/>
                <w:color w:val="000000"/>
                <w:sz w:val="16"/>
                <w:szCs w:val="16"/>
              </w:rPr>
              <w:t>2,81%</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404EFE">
        <w:trPr>
          <w:trHeight w:hRule="exact" w:val="1041"/>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08E15E3E" w14:textId="1977C46A" w:rsidR="000D69B5" w:rsidRDefault="00CE00A6" w:rsidP="000D69B5">
            <w:pPr>
              <w:spacing w:after="80" w:line="229" w:lineRule="auto"/>
              <w:jc w:val="both"/>
              <w:rPr>
                <w:rFonts w:ascii="Cambria" w:eastAsia="Aparajita" w:hAnsi="Cambria" w:cs="Calibri"/>
                <w:color w:val="000000"/>
                <w:spacing w:val="-2"/>
                <w:sz w:val="16"/>
                <w:szCs w:val="16"/>
              </w:rPr>
            </w:pPr>
            <w:r w:rsidRPr="00CE00A6">
              <w:rPr>
                <w:rFonts w:ascii="Cambria" w:eastAsia="Aparajita" w:hAnsi="Cambria" w:cs="Calibri"/>
                <w:color w:val="000000"/>
                <w:spacing w:val="-2"/>
                <w:sz w:val="16"/>
                <w:szCs w:val="16"/>
              </w:rPr>
              <w:t xml:space="preserve">Le scénario défavorable s’est déroulé durant la période entre le </w:t>
            </w:r>
            <w:r w:rsidR="009F3E7A">
              <w:rPr>
                <w:rFonts w:ascii="Cambria" w:eastAsia="Aparajita" w:hAnsi="Cambria" w:cs="Calibri"/>
                <w:color w:val="000000"/>
                <w:spacing w:val="-2"/>
                <w:sz w:val="16"/>
                <w:szCs w:val="16"/>
              </w:rPr>
              <w:t>31 janvier 2015</w:t>
            </w:r>
            <w:r w:rsidRPr="00CE00A6">
              <w:rPr>
                <w:rFonts w:ascii="Cambria" w:eastAsia="Aparajita" w:hAnsi="Cambria" w:cs="Calibri"/>
                <w:color w:val="000000"/>
                <w:spacing w:val="-2"/>
                <w:sz w:val="16"/>
                <w:szCs w:val="16"/>
              </w:rPr>
              <w:t xml:space="preserve"> et </w:t>
            </w:r>
            <w:r w:rsidR="0028371B">
              <w:rPr>
                <w:rFonts w:ascii="Cambria" w:eastAsia="Aparajita" w:hAnsi="Cambria" w:cs="Calibri"/>
                <w:color w:val="000000"/>
                <w:spacing w:val="-2"/>
                <w:sz w:val="16"/>
                <w:szCs w:val="16"/>
              </w:rPr>
              <w:t>le 30 novembre</w:t>
            </w:r>
            <w:r w:rsidRPr="00CE00A6">
              <w:rPr>
                <w:rFonts w:ascii="Cambria" w:eastAsia="Aparajita" w:hAnsi="Cambria" w:cs="Calibri"/>
                <w:color w:val="000000"/>
                <w:spacing w:val="-2"/>
                <w:sz w:val="16"/>
                <w:szCs w:val="16"/>
              </w:rPr>
              <w:t xml:space="preserve"> 2025. Le scénario intermédiaire s’est déroulé durant la période entre le </w:t>
            </w:r>
            <w:r w:rsidR="0028371B">
              <w:rPr>
                <w:rFonts w:ascii="Cambria" w:eastAsia="Aparajita" w:hAnsi="Cambria" w:cs="Calibri"/>
                <w:color w:val="000000"/>
                <w:spacing w:val="-2"/>
                <w:sz w:val="16"/>
                <w:szCs w:val="16"/>
              </w:rPr>
              <w:t>31 janvier 2015</w:t>
            </w:r>
            <w:r w:rsidR="0028371B" w:rsidRPr="00CE00A6">
              <w:rPr>
                <w:rFonts w:ascii="Cambria" w:eastAsia="Aparajita" w:hAnsi="Cambria" w:cs="Calibri"/>
                <w:color w:val="000000"/>
                <w:spacing w:val="-2"/>
                <w:sz w:val="16"/>
                <w:szCs w:val="16"/>
              </w:rPr>
              <w:t xml:space="preserve"> et </w:t>
            </w:r>
            <w:r w:rsidR="0028371B">
              <w:rPr>
                <w:rFonts w:ascii="Cambria" w:eastAsia="Aparajita" w:hAnsi="Cambria" w:cs="Calibri"/>
                <w:color w:val="000000"/>
                <w:spacing w:val="-2"/>
                <w:sz w:val="16"/>
                <w:szCs w:val="16"/>
              </w:rPr>
              <w:t>le 30 novembre</w:t>
            </w:r>
            <w:r w:rsidR="0028371B" w:rsidRPr="00CE00A6">
              <w:rPr>
                <w:rFonts w:ascii="Cambria" w:eastAsia="Aparajita" w:hAnsi="Cambria" w:cs="Calibri"/>
                <w:color w:val="000000"/>
                <w:spacing w:val="-2"/>
                <w:sz w:val="16"/>
                <w:szCs w:val="16"/>
              </w:rPr>
              <w:t xml:space="preserve"> 2025</w:t>
            </w:r>
            <w:r w:rsidRPr="00CE00A6">
              <w:rPr>
                <w:rFonts w:ascii="Cambria" w:eastAsia="Aparajita" w:hAnsi="Cambria" w:cs="Calibri"/>
                <w:color w:val="000000"/>
                <w:spacing w:val="-2"/>
                <w:sz w:val="16"/>
                <w:szCs w:val="16"/>
              </w:rPr>
              <w:t xml:space="preserve">.  Le scénario favorable s’est déroulé durant la période entre le </w:t>
            </w:r>
            <w:r w:rsidR="0028371B">
              <w:rPr>
                <w:rFonts w:ascii="Cambria" w:eastAsia="Aparajita" w:hAnsi="Cambria" w:cs="Calibri"/>
                <w:color w:val="000000"/>
                <w:spacing w:val="-2"/>
                <w:sz w:val="16"/>
                <w:szCs w:val="16"/>
              </w:rPr>
              <w:t>31 janvier 2015</w:t>
            </w:r>
            <w:r w:rsidR="0028371B" w:rsidRPr="00CE00A6">
              <w:rPr>
                <w:rFonts w:ascii="Cambria" w:eastAsia="Aparajita" w:hAnsi="Cambria" w:cs="Calibri"/>
                <w:color w:val="000000"/>
                <w:spacing w:val="-2"/>
                <w:sz w:val="16"/>
                <w:szCs w:val="16"/>
              </w:rPr>
              <w:t xml:space="preserve"> et </w:t>
            </w:r>
            <w:r w:rsidR="0028371B">
              <w:rPr>
                <w:rFonts w:ascii="Cambria" w:eastAsia="Aparajita" w:hAnsi="Cambria" w:cs="Calibri"/>
                <w:color w:val="000000"/>
                <w:spacing w:val="-2"/>
                <w:sz w:val="16"/>
                <w:szCs w:val="16"/>
              </w:rPr>
              <w:t>le 30 novembre</w:t>
            </w:r>
            <w:r w:rsidR="0028371B" w:rsidRPr="00CE00A6">
              <w:rPr>
                <w:rFonts w:ascii="Cambria" w:eastAsia="Aparajita" w:hAnsi="Cambria" w:cs="Calibri"/>
                <w:color w:val="000000"/>
                <w:spacing w:val="-2"/>
                <w:sz w:val="16"/>
                <w:szCs w:val="16"/>
              </w:rPr>
              <w:t xml:space="preserve"> 2025</w:t>
            </w:r>
            <w:r>
              <w:rPr>
                <w:rFonts w:ascii="Cambria" w:eastAsia="Aparajita" w:hAnsi="Cambria" w:cs="Calibri"/>
                <w:color w:val="000000"/>
                <w:spacing w:val="-2"/>
                <w:sz w:val="16"/>
                <w:szCs w:val="16"/>
              </w:rPr>
              <w:t xml:space="preserve">. </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349D71C4" w:rsidR="005E38E3" w:rsidRPr="005E38E3" w:rsidRDefault="00B6688D" w:rsidP="005E38E3">
            <w:pPr>
              <w:ind w:right="273"/>
              <w:jc w:val="center"/>
              <w:rPr>
                <w:rFonts w:ascii="Cambria" w:hAnsi="Cambria" w:cs="Arial"/>
                <w:color w:val="000000"/>
                <w:sz w:val="16"/>
                <w:szCs w:val="16"/>
              </w:rPr>
            </w:pPr>
            <w:r>
              <w:rPr>
                <w:rFonts w:ascii="Cambria" w:hAnsi="Cambria" w:cs="Arial"/>
                <w:color w:val="000000"/>
                <w:sz w:val="16"/>
                <w:szCs w:val="16"/>
              </w:rPr>
              <w:t>677</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2985BC05" w:rsidR="005E38E3" w:rsidRPr="005E38E3" w:rsidRDefault="005E38E3" w:rsidP="005E38E3">
            <w:pPr>
              <w:ind w:right="273"/>
              <w:jc w:val="center"/>
              <w:rPr>
                <w:rFonts w:ascii="Cambria" w:hAnsi="Cambria" w:cs="Arial"/>
                <w:color w:val="000000"/>
                <w:sz w:val="16"/>
                <w:szCs w:val="16"/>
              </w:rPr>
            </w:pPr>
            <w:r w:rsidRPr="005E38E3">
              <w:rPr>
                <w:rFonts w:ascii="Cambria" w:hAnsi="Cambria" w:cs="Arial"/>
                <w:color w:val="000000"/>
                <w:sz w:val="16"/>
                <w:szCs w:val="16"/>
              </w:rPr>
              <w:t xml:space="preserve">1 </w:t>
            </w:r>
            <w:r w:rsidR="00B6688D">
              <w:rPr>
                <w:rFonts w:ascii="Cambria" w:hAnsi="Cambria" w:cs="Arial"/>
                <w:color w:val="000000"/>
                <w:sz w:val="16"/>
                <w:szCs w:val="16"/>
              </w:rPr>
              <w:t>063</w:t>
            </w:r>
            <w:r>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0B490A59" w:rsidR="005E38E3" w:rsidRPr="005E38E3" w:rsidRDefault="008B38C0" w:rsidP="005E38E3">
            <w:pPr>
              <w:ind w:right="273"/>
              <w:jc w:val="center"/>
              <w:rPr>
                <w:rFonts w:ascii="Cambria" w:hAnsi="Cambria" w:cs="Arial"/>
                <w:color w:val="000000"/>
                <w:sz w:val="16"/>
                <w:szCs w:val="16"/>
              </w:rPr>
            </w:pPr>
            <w:r>
              <w:rPr>
                <w:rFonts w:ascii="Cambria" w:hAnsi="Cambria" w:cs="Arial"/>
                <w:color w:val="000000"/>
                <w:sz w:val="16"/>
                <w:szCs w:val="16"/>
              </w:rPr>
              <w:t>3,</w:t>
            </w:r>
            <w:r w:rsidR="00B6688D">
              <w:rPr>
                <w:rFonts w:ascii="Cambria" w:hAnsi="Cambria" w:cs="Arial"/>
                <w:color w:val="000000"/>
                <w:sz w:val="16"/>
                <w:szCs w:val="16"/>
              </w:rPr>
              <w:t>02</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105E6E1D" w:rsidR="005E38E3" w:rsidRPr="005E38E3" w:rsidRDefault="008B38C0" w:rsidP="005E38E3">
            <w:pPr>
              <w:ind w:right="273"/>
              <w:jc w:val="center"/>
              <w:rPr>
                <w:rFonts w:ascii="Cambria" w:hAnsi="Cambria" w:cs="Arial"/>
                <w:color w:val="000000"/>
                <w:sz w:val="16"/>
                <w:szCs w:val="16"/>
              </w:rPr>
            </w:pPr>
            <w:r>
              <w:rPr>
                <w:rFonts w:ascii="Cambria" w:hAnsi="Cambria" w:cs="Arial"/>
                <w:color w:val="000000"/>
                <w:sz w:val="16"/>
                <w:szCs w:val="16"/>
              </w:rPr>
              <w:t>2,</w:t>
            </w:r>
            <w:r w:rsidR="00B6688D">
              <w:rPr>
                <w:rFonts w:ascii="Cambria" w:hAnsi="Cambria" w:cs="Arial"/>
                <w:color w:val="000000"/>
                <w:sz w:val="16"/>
                <w:szCs w:val="16"/>
              </w:rPr>
              <w:t>15</w:t>
            </w:r>
            <w:r>
              <w:rPr>
                <w:rFonts w:ascii="Cambria" w:hAnsi="Cambria" w:cs="Arial"/>
                <w:color w:val="000000"/>
                <w:sz w:val="16"/>
                <w:szCs w:val="16"/>
              </w:rPr>
              <w:t xml:space="preserve"> </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52F7609B"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B6688D">
        <w:rPr>
          <w:rFonts w:ascii="Cambria" w:hAnsi="Cambria" w:cs="Calibri"/>
          <w:i/>
          <w:iCs/>
          <w:sz w:val="16"/>
          <w:szCs w:val="16"/>
        </w:rPr>
        <w:t>1</w:t>
      </w:r>
      <w:r w:rsidR="005E38E3" w:rsidRPr="0071740E">
        <w:rPr>
          <w:rFonts w:ascii="Cambria" w:hAnsi="Cambria" w:cs="Calibri"/>
          <w:i/>
          <w:iCs/>
          <w:sz w:val="16"/>
          <w:szCs w:val="16"/>
        </w:rPr>
        <w:t>,</w:t>
      </w:r>
      <w:r w:rsidR="00B6688D">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1E2E4B">
        <w:rPr>
          <w:rFonts w:ascii="Cambria" w:hAnsi="Cambria" w:cs="Calibri"/>
          <w:i/>
          <w:iCs/>
          <w:sz w:val="16"/>
          <w:szCs w:val="16"/>
        </w:rPr>
        <w:t>-</w:t>
      </w:r>
      <w:r w:rsidR="00B6688D">
        <w:rPr>
          <w:rFonts w:ascii="Cambria" w:hAnsi="Cambria" w:cs="Calibri"/>
          <w:i/>
          <w:iCs/>
          <w:sz w:val="16"/>
          <w:szCs w:val="16"/>
        </w:rPr>
        <w:t>0</w:t>
      </w:r>
      <w:r w:rsidR="0009419B">
        <w:rPr>
          <w:rFonts w:ascii="Cambria" w:hAnsi="Cambria" w:cs="Calibri"/>
          <w:i/>
          <w:iCs/>
          <w:sz w:val="16"/>
          <w:szCs w:val="16"/>
        </w:rPr>
        <w:t>,</w:t>
      </w:r>
      <w:r w:rsidR="00B6688D">
        <w:rPr>
          <w:rFonts w:ascii="Cambria" w:hAnsi="Cambria" w:cs="Calibri"/>
          <w:i/>
          <w:iCs/>
          <w:sz w:val="16"/>
          <w:szCs w:val="16"/>
        </w:rPr>
        <w:t>68</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13B5E234"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 xml:space="preserve">Incidence des coûts 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9738FAC"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195B9E06" w:rsidR="001277A1" w:rsidRPr="00993ABB" w:rsidRDefault="00D2781A"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082CA2">
              <w:rPr>
                <w:rFonts w:ascii="Cambria" w:eastAsia="Calibri, sans-serif" w:hAnsi="Cambria" w:cs="Calibri"/>
                <w:bCs/>
                <w:spacing w:val="-2"/>
                <w:sz w:val="16"/>
                <w:szCs w:val="16"/>
              </w:rPr>
              <w:t>8</w:t>
            </w:r>
            <w:r w:rsidRPr="00993ABB">
              <w:rPr>
                <w:rFonts w:ascii="Cambria" w:eastAsia="Calibri, sans-serif" w:hAnsi="Cambria" w:cs="Calibri"/>
                <w:bCs/>
                <w:spacing w:val="-2"/>
                <w:sz w:val="16"/>
                <w:szCs w:val="16"/>
              </w:rPr>
              <w:t xml:space="preserve"> </w:t>
            </w:r>
            <w:r w:rsidR="001277A1" w:rsidRPr="00993ABB">
              <w:rPr>
                <w:rFonts w:ascii="Cambria" w:eastAsia="Calibri, sans-serif" w:hAnsi="Cambria" w:cs="Calibri"/>
                <w:bCs/>
                <w:spacing w:val="-2"/>
                <w:sz w:val="16"/>
                <w:szCs w:val="16"/>
              </w:rPr>
              <w:t>€</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6ACA00DA" w:rsidR="00C61FCE" w:rsidRPr="00993ABB" w:rsidRDefault="00B57A12"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2,</w:t>
            </w:r>
            <w:r w:rsidR="00ED0638">
              <w:rPr>
                <w:rFonts w:ascii="Cambria" w:eastAsia="Calibri" w:hAnsi="Cambria" w:cs="Calibri"/>
                <w:bCs/>
                <w:spacing w:val="-2"/>
                <w:sz w:val="16"/>
                <w:szCs w:val="16"/>
              </w:rPr>
              <w:t>1</w:t>
            </w:r>
            <w:r w:rsidR="00082CA2">
              <w:rPr>
                <w:rFonts w:ascii="Cambria" w:eastAsia="Calibri" w:hAnsi="Cambria" w:cs="Calibri"/>
                <w:bCs/>
                <w:spacing w:val="-2"/>
                <w:sz w:val="16"/>
                <w:szCs w:val="16"/>
              </w:rPr>
              <w:t>5</w:t>
            </w:r>
            <w:r>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3AEBEE2E" w:rsidR="001277A1" w:rsidRPr="00993ABB" w:rsidRDefault="001277A1" w:rsidP="001277A1">
            <w:pPr>
              <w:spacing w:line="229" w:lineRule="auto"/>
              <w:ind w:left="142"/>
              <w:jc w:val="center"/>
              <w:rPr>
                <w:rFonts w:ascii="Cambria" w:eastAsia="Calibri" w:hAnsi="Cambria" w:cs="Calibri"/>
                <w:bCs/>
                <w:spacing w:val="-2"/>
                <w:sz w:val="16"/>
              </w:rPr>
            </w:pPr>
            <w:r w:rsidRPr="00993ABB">
              <w:rPr>
                <w:rFonts w:ascii="Cambria" w:eastAsia="Calibri, sans-serif" w:hAnsi="Cambria" w:cs="Calibri"/>
                <w:bCs/>
                <w:spacing w:val="-2"/>
                <w:sz w:val="16"/>
                <w:szCs w:val="16"/>
              </w:rPr>
              <w:t xml:space="preserve"> </w:t>
            </w:r>
            <w:r w:rsidR="008B38C0">
              <w:rPr>
                <w:rFonts w:ascii="Cambria" w:eastAsia="Calibri, sans-serif" w:hAnsi="Cambria" w:cs="Calibri"/>
                <w:bCs/>
                <w:spacing w:val="-2"/>
                <w:sz w:val="16"/>
                <w:szCs w:val="16"/>
              </w:rPr>
              <w:t xml:space="preserve">1 </w:t>
            </w:r>
            <w:r w:rsidR="00D2781A">
              <w:rPr>
                <w:rFonts w:ascii="Cambria" w:eastAsia="Calibri, sans-serif" w:hAnsi="Cambria" w:cs="Calibri"/>
                <w:bCs/>
                <w:spacing w:val="-2"/>
                <w:sz w:val="16"/>
                <w:szCs w:val="16"/>
              </w:rPr>
              <w:t>0</w:t>
            </w:r>
            <w:r w:rsidR="00B6688D">
              <w:rPr>
                <w:rFonts w:ascii="Cambria" w:eastAsia="Calibri, sans-serif" w:hAnsi="Cambria" w:cs="Calibri"/>
                <w:bCs/>
                <w:spacing w:val="-2"/>
                <w:sz w:val="16"/>
                <w:szCs w:val="16"/>
              </w:rPr>
              <w:t>63</w:t>
            </w:r>
            <w:r w:rsidR="008B38C0">
              <w:rPr>
                <w:rFonts w:ascii="Cambria" w:eastAsia="Calibri, sans-serif" w:hAnsi="Cambria" w:cs="Calibri"/>
                <w:bCs/>
                <w:spacing w:val="-2"/>
                <w:sz w:val="16"/>
                <w:szCs w:val="16"/>
              </w:rPr>
              <w:t xml:space="preserve"> </w:t>
            </w:r>
            <w:r w:rsidR="008B38C0" w:rsidRPr="00993ABB">
              <w:rPr>
                <w:rFonts w:ascii="Cambria" w:eastAsia="Calibri, sans-serif" w:hAnsi="Cambria" w:cs="Calibri"/>
                <w:bCs/>
                <w:spacing w:val="-2"/>
                <w:sz w:val="16"/>
                <w:szCs w:val="16"/>
              </w:rPr>
              <w:t>€</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64B4E88A"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702E52C4" w:rsidR="001277A1" w:rsidRDefault="00B6688D"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21689" w14:textId="77777777" w:rsidR="00DD3C1B" w:rsidRDefault="00DD3C1B" w:rsidP="00444F4C">
      <w:r>
        <w:separator/>
      </w:r>
    </w:p>
  </w:endnote>
  <w:endnote w:type="continuationSeparator" w:id="0">
    <w:p w14:paraId="3EE2AF12" w14:textId="77777777" w:rsidR="00DD3C1B" w:rsidRDefault="00DD3C1B"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63E9E138"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0ADDE68E"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AFFA" w14:textId="77777777" w:rsidR="00DD3C1B" w:rsidRDefault="00DD3C1B" w:rsidP="00444F4C">
      <w:r>
        <w:separator/>
      </w:r>
    </w:p>
  </w:footnote>
  <w:footnote w:type="continuationSeparator" w:id="0">
    <w:p w14:paraId="05BF28F2" w14:textId="77777777" w:rsidR="00DD3C1B" w:rsidRDefault="00DD3C1B"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2733"/>
    <w:rsid w:val="000567CB"/>
    <w:rsid w:val="00063DC0"/>
    <w:rsid w:val="00071966"/>
    <w:rsid w:val="0007428A"/>
    <w:rsid w:val="00080A52"/>
    <w:rsid w:val="00080E91"/>
    <w:rsid w:val="00081A76"/>
    <w:rsid w:val="00082CA2"/>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535C"/>
    <w:rsid w:val="000D2319"/>
    <w:rsid w:val="000D2C3B"/>
    <w:rsid w:val="000D4B33"/>
    <w:rsid w:val="000D4E39"/>
    <w:rsid w:val="000D69AE"/>
    <w:rsid w:val="000D69B5"/>
    <w:rsid w:val="000E0FC3"/>
    <w:rsid w:val="000E2633"/>
    <w:rsid w:val="000F1F2F"/>
    <w:rsid w:val="000F24F3"/>
    <w:rsid w:val="000F2993"/>
    <w:rsid w:val="000F64E4"/>
    <w:rsid w:val="000F6AA6"/>
    <w:rsid w:val="00100330"/>
    <w:rsid w:val="0011342C"/>
    <w:rsid w:val="0011379D"/>
    <w:rsid w:val="00115407"/>
    <w:rsid w:val="001176FC"/>
    <w:rsid w:val="001254B5"/>
    <w:rsid w:val="001277A1"/>
    <w:rsid w:val="0013606D"/>
    <w:rsid w:val="00137B60"/>
    <w:rsid w:val="001434C3"/>
    <w:rsid w:val="001539C4"/>
    <w:rsid w:val="00155165"/>
    <w:rsid w:val="00162AA7"/>
    <w:rsid w:val="001672C4"/>
    <w:rsid w:val="0017074A"/>
    <w:rsid w:val="001726EA"/>
    <w:rsid w:val="00174C9A"/>
    <w:rsid w:val="001750BD"/>
    <w:rsid w:val="001756B1"/>
    <w:rsid w:val="001756EB"/>
    <w:rsid w:val="001759B9"/>
    <w:rsid w:val="00175E49"/>
    <w:rsid w:val="0017675B"/>
    <w:rsid w:val="0017784C"/>
    <w:rsid w:val="0018128D"/>
    <w:rsid w:val="00181FD1"/>
    <w:rsid w:val="001864FC"/>
    <w:rsid w:val="001874C3"/>
    <w:rsid w:val="00197E3B"/>
    <w:rsid w:val="001A2625"/>
    <w:rsid w:val="001A34E6"/>
    <w:rsid w:val="001B018B"/>
    <w:rsid w:val="001B11C4"/>
    <w:rsid w:val="001B38F7"/>
    <w:rsid w:val="001C1D34"/>
    <w:rsid w:val="001C3E0D"/>
    <w:rsid w:val="001C4831"/>
    <w:rsid w:val="001D00AB"/>
    <w:rsid w:val="001D04E7"/>
    <w:rsid w:val="001D20DF"/>
    <w:rsid w:val="001D7CDE"/>
    <w:rsid w:val="001E2E4B"/>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71B"/>
    <w:rsid w:val="00283DA2"/>
    <w:rsid w:val="00292173"/>
    <w:rsid w:val="002A0CD4"/>
    <w:rsid w:val="002A624A"/>
    <w:rsid w:val="002B00E0"/>
    <w:rsid w:val="002B083A"/>
    <w:rsid w:val="002B3D07"/>
    <w:rsid w:val="002B5232"/>
    <w:rsid w:val="002C39FC"/>
    <w:rsid w:val="002C3F71"/>
    <w:rsid w:val="002C5AA7"/>
    <w:rsid w:val="002D0D28"/>
    <w:rsid w:val="002D38FB"/>
    <w:rsid w:val="002D40B0"/>
    <w:rsid w:val="002E0FD1"/>
    <w:rsid w:val="002E2585"/>
    <w:rsid w:val="002F0EFB"/>
    <w:rsid w:val="002F39F5"/>
    <w:rsid w:val="002F4D3C"/>
    <w:rsid w:val="002F6416"/>
    <w:rsid w:val="002F71EB"/>
    <w:rsid w:val="00301260"/>
    <w:rsid w:val="00301B08"/>
    <w:rsid w:val="00310A0D"/>
    <w:rsid w:val="003112AA"/>
    <w:rsid w:val="0031175D"/>
    <w:rsid w:val="00311856"/>
    <w:rsid w:val="00315B75"/>
    <w:rsid w:val="003170E8"/>
    <w:rsid w:val="00323B93"/>
    <w:rsid w:val="0033373B"/>
    <w:rsid w:val="003354C5"/>
    <w:rsid w:val="00335D2A"/>
    <w:rsid w:val="00336776"/>
    <w:rsid w:val="00336F3F"/>
    <w:rsid w:val="00337C72"/>
    <w:rsid w:val="00341709"/>
    <w:rsid w:val="00342534"/>
    <w:rsid w:val="00342FA8"/>
    <w:rsid w:val="003464E9"/>
    <w:rsid w:val="00350B62"/>
    <w:rsid w:val="00351D42"/>
    <w:rsid w:val="003521D1"/>
    <w:rsid w:val="0035521C"/>
    <w:rsid w:val="003608F2"/>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C4854"/>
    <w:rsid w:val="003D551B"/>
    <w:rsid w:val="003D66EA"/>
    <w:rsid w:val="003E2CF1"/>
    <w:rsid w:val="003E30AF"/>
    <w:rsid w:val="003E3195"/>
    <w:rsid w:val="003E794B"/>
    <w:rsid w:val="003F0E80"/>
    <w:rsid w:val="003F1C5F"/>
    <w:rsid w:val="003F3211"/>
    <w:rsid w:val="003F352D"/>
    <w:rsid w:val="003F6B06"/>
    <w:rsid w:val="003F729E"/>
    <w:rsid w:val="00404EF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6713"/>
    <w:rsid w:val="004C0F55"/>
    <w:rsid w:val="004C17C0"/>
    <w:rsid w:val="004C1FD2"/>
    <w:rsid w:val="004D35C9"/>
    <w:rsid w:val="004D71BC"/>
    <w:rsid w:val="004E2029"/>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715A5"/>
    <w:rsid w:val="0058107D"/>
    <w:rsid w:val="0058408E"/>
    <w:rsid w:val="005910F9"/>
    <w:rsid w:val="00591F2A"/>
    <w:rsid w:val="00593DFC"/>
    <w:rsid w:val="005A13D5"/>
    <w:rsid w:val="005A48FF"/>
    <w:rsid w:val="005A7E5E"/>
    <w:rsid w:val="005B6C7C"/>
    <w:rsid w:val="005C1874"/>
    <w:rsid w:val="005C22EB"/>
    <w:rsid w:val="005D0D44"/>
    <w:rsid w:val="005D24E6"/>
    <w:rsid w:val="005D375E"/>
    <w:rsid w:val="005D6D7C"/>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67F7"/>
    <w:rsid w:val="00656F08"/>
    <w:rsid w:val="006664C7"/>
    <w:rsid w:val="00667FA7"/>
    <w:rsid w:val="00675953"/>
    <w:rsid w:val="00681D5A"/>
    <w:rsid w:val="006829D5"/>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A7A27"/>
    <w:rsid w:val="006B2E10"/>
    <w:rsid w:val="006B5121"/>
    <w:rsid w:val="006B6A57"/>
    <w:rsid w:val="006C3D6E"/>
    <w:rsid w:val="006C59CA"/>
    <w:rsid w:val="006D0298"/>
    <w:rsid w:val="006D03C7"/>
    <w:rsid w:val="006D12EB"/>
    <w:rsid w:val="006E1213"/>
    <w:rsid w:val="006E2CE6"/>
    <w:rsid w:val="006E45A2"/>
    <w:rsid w:val="006E530A"/>
    <w:rsid w:val="006E5A6E"/>
    <w:rsid w:val="006E65A3"/>
    <w:rsid w:val="006E6E92"/>
    <w:rsid w:val="006F4556"/>
    <w:rsid w:val="006F5567"/>
    <w:rsid w:val="006F6A23"/>
    <w:rsid w:val="006F77F4"/>
    <w:rsid w:val="00700BC5"/>
    <w:rsid w:val="0071740E"/>
    <w:rsid w:val="00720A24"/>
    <w:rsid w:val="0072428F"/>
    <w:rsid w:val="00724E26"/>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B17"/>
    <w:rsid w:val="0077422F"/>
    <w:rsid w:val="00781BD3"/>
    <w:rsid w:val="00781F4F"/>
    <w:rsid w:val="00784792"/>
    <w:rsid w:val="0079017E"/>
    <w:rsid w:val="0079709E"/>
    <w:rsid w:val="00797A17"/>
    <w:rsid w:val="007A0698"/>
    <w:rsid w:val="007A1598"/>
    <w:rsid w:val="007A79DB"/>
    <w:rsid w:val="007B1A6B"/>
    <w:rsid w:val="007B642E"/>
    <w:rsid w:val="007C110D"/>
    <w:rsid w:val="007C433B"/>
    <w:rsid w:val="007E3867"/>
    <w:rsid w:val="007E4012"/>
    <w:rsid w:val="007E7B1C"/>
    <w:rsid w:val="007F67DC"/>
    <w:rsid w:val="008009DF"/>
    <w:rsid w:val="0080436E"/>
    <w:rsid w:val="008059FB"/>
    <w:rsid w:val="00810077"/>
    <w:rsid w:val="008117DD"/>
    <w:rsid w:val="0081583F"/>
    <w:rsid w:val="00821D7E"/>
    <w:rsid w:val="00824F37"/>
    <w:rsid w:val="00830B66"/>
    <w:rsid w:val="00831669"/>
    <w:rsid w:val="00833B35"/>
    <w:rsid w:val="00840736"/>
    <w:rsid w:val="00840A7A"/>
    <w:rsid w:val="0084137C"/>
    <w:rsid w:val="00841925"/>
    <w:rsid w:val="0084343A"/>
    <w:rsid w:val="00845936"/>
    <w:rsid w:val="00846611"/>
    <w:rsid w:val="0084727F"/>
    <w:rsid w:val="0085214A"/>
    <w:rsid w:val="00854F2B"/>
    <w:rsid w:val="00855C18"/>
    <w:rsid w:val="008565E6"/>
    <w:rsid w:val="0086061A"/>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87EC8"/>
    <w:rsid w:val="00896348"/>
    <w:rsid w:val="008A0585"/>
    <w:rsid w:val="008A2322"/>
    <w:rsid w:val="008A3FC8"/>
    <w:rsid w:val="008A57BB"/>
    <w:rsid w:val="008A657F"/>
    <w:rsid w:val="008B11AF"/>
    <w:rsid w:val="008B38C0"/>
    <w:rsid w:val="008B503F"/>
    <w:rsid w:val="008B6EF7"/>
    <w:rsid w:val="008C0726"/>
    <w:rsid w:val="008C0998"/>
    <w:rsid w:val="008C6B2A"/>
    <w:rsid w:val="008D3788"/>
    <w:rsid w:val="008D4294"/>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2CF2"/>
    <w:rsid w:val="009437C9"/>
    <w:rsid w:val="00944357"/>
    <w:rsid w:val="009468C2"/>
    <w:rsid w:val="00946EB1"/>
    <w:rsid w:val="009506B8"/>
    <w:rsid w:val="00951D56"/>
    <w:rsid w:val="0095541B"/>
    <w:rsid w:val="00964214"/>
    <w:rsid w:val="00964D82"/>
    <w:rsid w:val="00971D62"/>
    <w:rsid w:val="00972996"/>
    <w:rsid w:val="009764D8"/>
    <w:rsid w:val="00980DDF"/>
    <w:rsid w:val="0098297E"/>
    <w:rsid w:val="00985F40"/>
    <w:rsid w:val="009920B6"/>
    <w:rsid w:val="00993ABB"/>
    <w:rsid w:val="00994AD9"/>
    <w:rsid w:val="00997916"/>
    <w:rsid w:val="009A0CB5"/>
    <w:rsid w:val="009A45EE"/>
    <w:rsid w:val="009A488C"/>
    <w:rsid w:val="009B0CCB"/>
    <w:rsid w:val="009B2396"/>
    <w:rsid w:val="009B741F"/>
    <w:rsid w:val="009C2B2B"/>
    <w:rsid w:val="009C6EAA"/>
    <w:rsid w:val="009D063C"/>
    <w:rsid w:val="009D07B4"/>
    <w:rsid w:val="009D0AC5"/>
    <w:rsid w:val="009D1B57"/>
    <w:rsid w:val="009D2155"/>
    <w:rsid w:val="009D5120"/>
    <w:rsid w:val="009D7CE2"/>
    <w:rsid w:val="009E592B"/>
    <w:rsid w:val="009F0033"/>
    <w:rsid w:val="009F3E7A"/>
    <w:rsid w:val="009F7EEE"/>
    <w:rsid w:val="00A00C6B"/>
    <w:rsid w:val="00A02DE6"/>
    <w:rsid w:val="00A03DB8"/>
    <w:rsid w:val="00A114C4"/>
    <w:rsid w:val="00A11F14"/>
    <w:rsid w:val="00A14F6B"/>
    <w:rsid w:val="00A15BC5"/>
    <w:rsid w:val="00A21763"/>
    <w:rsid w:val="00A21AC7"/>
    <w:rsid w:val="00A21BC5"/>
    <w:rsid w:val="00A229D5"/>
    <w:rsid w:val="00A3312A"/>
    <w:rsid w:val="00A3348D"/>
    <w:rsid w:val="00A356C2"/>
    <w:rsid w:val="00A35D88"/>
    <w:rsid w:val="00A36138"/>
    <w:rsid w:val="00A4327C"/>
    <w:rsid w:val="00A43B70"/>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6FE"/>
    <w:rsid w:val="00A80C85"/>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3E82"/>
    <w:rsid w:val="00B41EC7"/>
    <w:rsid w:val="00B449B5"/>
    <w:rsid w:val="00B53923"/>
    <w:rsid w:val="00B55D94"/>
    <w:rsid w:val="00B57A12"/>
    <w:rsid w:val="00B60B28"/>
    <w:rsid w:val="00B614F6"/>
    <w:rsid w:val="00B62E91"/>
    <w:rsid w:val="00B631D6"/>
    <w:rsid w:val="00B64E26"/>
    <w:rsid w:val="00B6688D"/>
    <w:rsid w:val="00B66909"/>
    <w:rsid w:val="00B719A8"/>
    <w:rsid w:val="00B736A1"/>
    <w:rsid w:val="00B73BD1"/>
    <w:rsid w:val="00B74966"/>
    <w:rsid w:val="00B7636C"/>
    <w:rsid w:val="00B76479"/>
    <w:rsid w:val="00B8014D"/>
    <w:rsid w:val="00B804C8"/>
    <w:rsid w:val="00B81848"/>
    <w:rsid w:val="00B82814"/>
    <w:rsid w:val="00B9005C"/>
    <w:rsid w:val="00B90727"/>
    <w:rsid w:val="00B91581"/>
    <w:rsid w:val="00BA08CA"/>
    <w:rsid w:val="00BA0E60"/>
    <w:rsid w:val="00BA5B78"/>
    <w:rsid w:val="00BB0F4F"/>
    <w:rsid w:val="00BB3D94"/>
    <w:rsid w:val="00BC0162"/>
    <w:rsid w:val="00BC0FAB"/>
    <w:rsid w:val="00BC506E"/>
    <w:rsid w:val="00BC5AFC"/>
    <w:rsid w:val="00BC671B"/>
    <w:rsid w:val="00BC7060"/>
    <w:rsid w:val="00BD6C43"/>
    <w:rsid w:val="00BE0A4F"/>
    <w:rsid w:val="00BE0C1D"/>
    <w:rsid w:val="00BE339A"/>
    <w:rsid w:val="00BE5327"/>
    <w:rsid w:val="00BF7F3C"/>
    <w:rsid w:val="00C0072F"/>
    <w:rsid w:val="00C021CD"/>
    <w:rsid w:val="00C02223"/>
    <w:rsid w:val="00C066DB"/>
    <w:rsid w:val="00C06B67"/>
    <w:rsid w:val="00C07F81"/>
    <w:rsid w:val="00C133C0"/>
    <w:rsid w:val="00C16B7A"/>
    <w:rsid w:val="00C25A31"/>
    <w:rsid w:val="00C27359"/>
    <w:rsid w:val="00C34C08"/>
    <w:rsid w:val="00C3641F"/>
    <w:rsid w:val="00C37ECD"/>
    <w:rsid w:val="00C4154D"/>
    <w:rsid w:val="00C43E80"/>
    <w:rsid w:val="00C4442C"/>
    <w:rsid w:val="00C44FB8"/>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00A6"/>
    <w:rsid w:val="00CE50DC"/>
    <w:rsid w:val="00D027F0"/>
    <w:rsid w:val="00D04FF0"/>
    <w:rsid w:val="00D07D7B"/>
    <w:rsid w:val="00D13D0C"/>
    <w:rsid w:val="00D1588E"/>
    <w:rsid w:val="00D1653C"/>
    <w:rsid w:val="00D212A3"/>
    <w:rsid w:val="00D23585"/>
    <w:rsid w:val="00D24C55"/>
    <w:rsid w:val="00D2781A"/>
    <w:rsid w:val="00D303F6"/>
    <w:rsid w:val="00D30A8E"/>
    <w:rsid w:val="00D37FD4"/>
    <w:rsid w:val="00D43470"/>
    <w:rsid w:val="00D45136"/>
    <w:rsid w:val="00D467EB"/>
    <w:rsid w:val="00D46E2A"/>
    <w:rsid w:val="00D552F1"/>
    <w:rsid w:val="00D61B62"/>
    <w:rsid w:val="00D62E6D"/>
    <w:rsid w:val="00D63E64"/>
    <w:rsid w:val="00D64C89"/>
    <w:rsid w:val="00D64EEE"/>
    <w:rsid w:val="00D6699C"/>
    <w:rsid w:val="00D70FBA"/>
    <w:rsid w:val="00D755E2"/>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E0"/>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50BA"/>
    <w:rsid w:val="00E25269"/>
    <w:rsid w:val="00E36AC4"/>
    <w:rsid w:val="00E37140"/>
    <w:rsid w:val="00E37855"/>
    <w:rsid w:val="00E44C0F"/>
    <w:rsid w:val="00E52748"/>
    <w:rsid w:val="00E537A5"/>
    <w:rsid w:val="00E61C16"/>
    <w:rsid w:val="00E6584A"/>
    <w:rsid w:val="00E66D35"/>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18D7"/>
    <w:rsid w:val="00ED0638"/>
    <w:rsid w:val="00ED1BD8"/>
    <w:rsid w:val="00ED3D93"/>
    <w:rsid w:val="00ED4CC7"/>
    <w:rsid w:val="00ED517F"/>
    <w:rsid w:val="00ED5985"/>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656D3"/>
    <w:rsid w:val="00F76DDF"/>
    <w:rsid w:val="00F76F9C"/>
    <w:rsid w:val="00F77B8A"/>
    <w:rsid w:val="00F805DD"/>
    <w:rsid w:val="00F8275D"/>
    <w:rsid w:val="00F85823"/>
    <w:rsid w:val="00F85C66"/>
    <w:rsid w:val="00F90A6E"/>
    <w:rsid w:val="00F917E0"/>
    <w:rsid w:val="00F93487"/>
    <w:rsid w:val="00F94A47"/>
    <w:rsid w:val="00F963E0"/>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079C3-3F8C-43FB-83A4-3B7C2CB2AA1E}">
  <ds:schemaRefs>
    <ds:schemaRef ds:uri="http://www.imanage.com/work/xmlschema"/>
  </ds:schemaRefs>
</ds:datastoreItem>
</file>

<file path=customXml/itemProps2.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16</TotalTime>
  <Pages>3</Pages>
  <Words>3132</Words>
  <Characters>16761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19</cp:revision>
  <cp:lastPrinted>2025-06-05T13:29:00Z</cp:lastPrinted>
  <dcterms:created xsi:type="dcterms:W3CDTF">2025-12-16T13:42:00Z</dcterms:created>
  <dcterms:modified xsi:type="dcterms:W3CDTF">2026-03-09T07:59:00Z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